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napToGrid w:val="0"/>
        <w:spacing w:line="240" w:lineRule="auto"/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  <w:lang w:val="en-US" w:eastAsia="zh-CN"/>
        </w:rPr>
        <w:t>附件1</w:t>
      </w:r>
    </w:p>
    <w:p>
      <w:pPr>
        <w:kinsoku/>
        <w:autoSpaceDE/>
        <w:autoSpaceDN w:val="0"/>
        <w:snapToGrid w:val="0"/>
        <w:spacing w:line="240" w:lineRule="auto"/>
        <w:rPr>
          <w:rFonts w:hint="default" w:ascii="黑体" w:hAnsi="黑体" w:eastAsia="黑体" w:cs="黑体"/>
          <w:b w:val="0"/>
          <w:bCs w:val="0"/>
          <w:snapToGrid/>
          <w:color w:val="000000"/>
          <w:sz w:val="32"/>
          <w:szCs w:val="32"/>
          <w:lang w:val="en-US" w:eastAsia="zh-CN"/>
        </w:rPr>
      </w:pPr>
    </w:p>
    <w:p>
      <w:pPr>
        <w:widowControl/>
        <w:snapToGrid w:val="0"/>
        <w:spacing w:beforeLines="0" w:afterLines="0"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2022—2023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文化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和旅游</w:t>
      </w:r>
    </w:p>
    <w:p>
      <w:pPr>
        <w:widowControl/>
        <w:snapToGrid w:val="0"/>
        <w:spacing w:beforeLines="0" w:afterLines="0"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研究课题指南</w:t>
      </w:r>
    </w:p>
    <w:p>
      <w:pPr>
        <w:widowControl/>
        <w:snapToGrid w:val="0"/>
        <w:spacing w:line="600" w:lineRule="exact"/>
        <w:ind w:firstLine="720" w:firstLineChars="200"/>
        <w:jc w:val="both"/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widowControl/>
        <w:numPr>
          <w:ilvl w:val="0"/>
          <w:numId w:val="0"/>
        </w:numPr>
        <w:snapToGrid w:val="0"/>
        <w:spacing w:beforeLines="0" w:afterLines="0" w:line="60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0"/>
          <w:lang w:val="en-US" w:eastAsia="zh-CN"/>
        </w:rPr>
        <w:t>一、制度方法研究</w:t>
      </w:r>
    </w:p>
    <w:p>
      <w:pPr>
        <w:widowControl/>
        <w:snapToGrid w:val="0"/>
        <w:spacing w:beforeLines="0" w:afterLines="0" w:line="600" w:lineRule="exact"/>
        <w:ind w:firstLine="640" w:firstLineChars="200"/>
        <w:jc w:val="both"/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  <w:t>1.文化产业国民经济行业分类研究</w:t>
      </w:r>
    </w:p>
    <w:p>
      <w:pPr>
        <w:widowControl/>
        <w:snapToGrid w:val="0"/>
        <w:spacing w:beforeLines="0" w:afterLines="0" w:line="600" w:lineRule="exact"/>
        <w:ind w:firstLine="640" w:firstLineChars="200"/>
        <w:jc w:val="both"/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  <w:t>2.旅游产业国民经济行业分类研究</w:t>
      </w:r>
    </w:p>
    <w:p>
      <w:pPr>
        <w:widowControl/>
        <w:snapToGrid w:val="0"/>
        <w:spacing w:beforeLines="0" w:afterLines="0" w:line="600" w:lineRule="exact"/>
        <w:ind w:firstLine="640" w:firstLineChars="200"/>
        <w:jc w:val="both"/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  <w:t>3.旅游统计下算县域方法研究</w:t>
      </w:r>
    </w:p>
    <w:p>
      <w:pPr>
        <w:widowControl/>
        <w:snapToGrid w:val="0"/>
        <w:spacing w:beforeLines="0" w:afterLines="0" w:line="600" w:lineRule="exact"/>
        <w:ind w:firstLine="640" w:firstLineChars="200"/>
        <w:jc w:val="both"/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  <w:t>4.假日旅游统计方法研究</w:t>
      </w:r>
    </w:p>
    <w:p>
      <w:pPr>
        <w:widowControl/>
        <w:snapToGrid w:val="0"/>
        <w:spacing w:beforeLines="0" w:afterLines="0" w:line="600" w:lineRule="exact"/>
        <w:ind w:firstLine="640" w:firstLineChars="200"/>
        <w:jc w:val="both"/>
        <w:rPr>
          <w:rFonts w:hint="default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  <w:t>5.文化统计指标优化研究</w:t>
      </w:r>
    </w:p>
    <w:p>
      <w:pPr>
        <w:widowControl/>
        <w:snapToGrid w:val="0"/>
        <w:spacing w:beforeLines="0" w:afterLines="0" w:line="60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0"/>
          <w:lang w:val="en-US" w:eastAsia="zh-CN"/>
        </w:rPr>
        <w:t>二、大数据探索</w:t>
      </w:r>
    </w:p>
    <w:p>
      <w:pPr>
        <w:widowControl/>
        <w:snapToGrid w:val="0"/>
        <w:spacing w:beforeLines="0" w:afterLines="0" w:line="600" w:lineRule="exact"/>
        <w:ind w:firstLine="640" w:firstLineChars="200"/>
        <w:jc w:val="both"/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  <w:t>6.文化大数据应用研究</w:t>
      </w:r>
    </w:p>
    <w:p>
      <w:pPr>
        <w:widowControl/>
        <w:snapToGrid w:val="0"/>
        <w:spacing w:beforeLines="0" w:afterLines="0" w:line="600" w:lineRule="exact"/>
        <w:ind w:firstLine="640" w:firstLineChars="200"/>
        <w:jc w:val="both"/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  <w:t>7.抽样调查与大数据融合探索研究</w:t>
      </w:r>
    </w:p>
    <w:p>
      <w:pPr>
        <w:widowControl/>
        <w:snapToGrid w:val="0"/>
        <w:spacing w:beforeLines="0" w:afterLines="0" w:line="600" w:lineRule="exact"/>
        <w:ind w:firstLine="640" w:firstLineChars="200"/>
        <w:jc w:val="both"/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  <w:t>8.消费大数据应用研究</w:t>
      </w:r>
    </w:p>
    <w:p>
      <w:pPr>
        <w:widowControl/>
        <w:snapToGrid w:val="0"/>
        <w:spacing w:beforeLines="0" w:afterLines="0" w:line="600" w:lineRule="exact"/>
        <w:ind w:firstLine="640" w:firstLineChars="200"/>
        <w:jc w:val="both"/>
        <w:rPr>
          <w:rFonts w:hint="default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  <w:t>9.评价大数据在在游客满意度调查上的应用研究</w:t>
      </w:r>
    </w:p>
    <w:p>
      <w:pPr>
        <w:widowControl/>
        <w:snapToGrid w:val="0"/>
        <w:spacing w:beforeLines="0" w:afterLines="0" w:line="600" w:lineRule="exact"/>
        <w:ind w:firstLine="640" w:firstLineChars="200"/>
        <w:jc w:val="both"/>
        <w:rPr>
          <w:rFonts w:hint="default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  <w:t>10.监测点分类监测方法研究</w:t>
      </w:r>
    </w:p>
    <w:p>
      <w:pPr>
        <w:widowControl/>
        <w:numPr>
          <w:ilvl w:val="0"/>
          <w:numId w:val="0"/>
        </w:numPr>
        <w:snapToGrid w:val="0"/>
        <w:spacing w:beforeLines="0" w:afterLines="0" w:line="60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0"/>
          <w:lang w:val="en-US" w:eastAsia="zh-CN"/>
        </w:rPr>
        <w:t>三、新业态研究</w:t>
      </w:r>
    </w:p>
    <w:p>
      <w:pPr>
        <w:kinsoku/>
        <w:autoSpaceDE/>
        <w:autoSpaceDN w:val="0"/>
        <w:spacing w:line="240" w:lineRule="auto"/>
        <w:ind w:firstLine="640"/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  <w:t>11.乡村旅游统计研究</w:t>
      </w:r>
    </w:p>
    <w:p>
      <w:pPr>
        <w:kinsoku/>
        <w:autoSpaceDE/>
        <w:autoSpaceDN w:val="0"/>
        <w:spacing w:line="240" w:lineRule="auto"/>
        <w:ind w:firstLine="640"/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  <w:t>12.红色旅游统计研究</w:t>
      </w:r>
    </w:p>
    <w:p>
      <w:pPr>
        <w:kinsoku/>
        <w:autoSpaceDE/>
        <w:autoSpaceDN w:val="0"/>
        <w:spacing w:line="240" w:lineRule="auto"/>
        <w:ind w:firstLine="640"/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  <w:t>13.滨海旅游统计研究</w:t>
      </w:r>
    </w:p>
    <w:p>
      <w:pPr>
        <w:kinsoku/>
        <w:autoSpaceDE/>
        <w:autoSpaceDN w:val="0"/>
        <w:spacing w:line="240" w:lineRule="auto"/>
        <w:ind w:firstLine="640"/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  <w:t>14.夜间经济旅游统计研究</w:t>
      </w:r>
    </w:p>
    <w:p>
      <w:pPr>
        <w:kinsoku/>
        <w:autoSpaceDE/>
        <w:autoSpaceDN w:val="0"/>
        <w:spacing w:line="240" w:lineRule="auto"/>
        <w:ind w:firstLine="640"/>
        <w:rPr>
          <w:rFonts w:hint="eastAsia" w:ascii="黑体" w:hAnsi="黑体" w:eastAsia="黑体" w:cs="黑体"/>
          <w:snapToGrid/>
          <w:color w:val="04040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0"/>
          <w:lang w:val="en-US" w:eastAsia="zh-CN"/>
        </w:rPr>
        <w:t>15.网红经济对旅游经济影响分析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C01DA"/>
    <w:rsid w:val="667C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省文化厅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2022-06-17T03:02:00Z</dcterms:created>
  <dc:creator>张炜嘉</dc:creator>
  <cp:lastModifiedBy>张炜嘉</cp:lastModifiedBy>
  <dcterms:modified xsi:type="dcterms:W3CDTF">2022-06-17T03:03:04Z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