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2019年度科技产业创新服务专项行动项目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网上申报流程</w:t>
      </w:r>
    </w:p>
    <w:p>
      <w:pPr>
        <w:jc w:val="center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登录科研管理系统</w:t>
      </w:r>
    </w:p>
    <w:p>
      <w:pPr>
        <w:numPr>
          <w:numId w:val="0"/>
        </w:numPr>
        <w:jc w:val="left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-669290</wp:posOffset>
            </wp:positionH>
            <wp:positionV relativeFrom="paragraph">
              <wp:posOffset>997585</wp:posOffset>
            </wp:positionV>
            <wp:extent cx="9899650" cy="3339465"/>
            <wp:effectExtent l="0" t="0" r="6350" b="13335"/>
            <wp:wrapTight wrapText="bothSides">
              <wp:wrapPolygon>
                <wp:start x="0" y="0"/>
                <wp:lineTo x="0" y="21440"/>
                <wp:lineTo x="21572" y="21440"/>
                <wp:lineTo x="21572" y="0"/>
                <wp:lineTo x="0" y="0"/>
              </wp:wrapPolygon>
            </wp:wrapTight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99650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  <w:t>点击下方图中标注在纵向项目类别的“项目申报”或“我的科研”下方的可申报项目处进入申报计划。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进入项目申报阶段</w:t>
      </w:r>
    </w:p>
    <w:p>
      <w:pPr>
        <w:numPr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  <w:t>选择合适的小分队并点击右方的“进入申报”按键进行申报。</w:t>
      </w:r>
    </w:p>
    <w:p>
      <w:pPr>
        <w:numPr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drawing>
          <wp:inline distT="0" distB="0" distL="114300" distR="114300">
            <wp:extent cx="8853805" cy="1436370"/>
            <wp:effectExtent l="0" t="0" r="4445" b="1143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新增项目并填报</w:t>
      </w:r>
    </w:p>
    <w:p>
      <w:pPr>
        <w:numPr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  <w:t>点击新增进入项目申报阶段并填写相应信息。（填报时需上传电子版申报书作附件）</w:t>
      </w:r>
      <w:bookmarkStart w:id="0" w:name="_GoBack"/>
      <w:bookmarkEnd w:id="0"/>
    </w:p>
    <w:p>
      <w:pPr>
        <w:numPr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48"/>
          <w:szCs w:val="48"/>
        </w:rPr>
      </w:pPr>
      <w:r>
        <w:rPr>
          <w:rFonts w:hint="eastAsia" w:ascii="仿宋_GB2312" w:hAnsi="仿宋_GB2312" w:eastAsia="仿宋_GB2312" w:cs="仿宋_GB2312"/>
          <w:sz w:val="48"/>
          <w:szCs w:val="48"/>
        </w:rPr>
        <w:drawing>
          <wp:inline distT="0" distB="0" distL="114300" distR="114300">
            <wp:extent cx="8855075" cy="1221105"/>
            <wp:effectExtent l="0" t="0" r="3175" b="1714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48"/>
          <w:szCs w:val="48"/>
        </w:rPr>
      </w:pPr>
      <w:r>
        <w:rPr>
          <w:rFonts w:hint="eastAsia" w:ascii="仿宋_GB2312" w:hAnsi="仿宋_GB2312" w:eastAsia="仿宋_GB2312" w:cs="仿宋_GB2312"/>
          <w:sz w:val="48"/>
          <w:szCs w:val="48"/>
        </w:rPr>
        <w:drawing>
          <wp:inline distT="0" distB="0" distL="114300" distR="114300">
            <wp:extent cx="8857615" cy="3571240"/>
            <wp:effectExtent l="0" t="0" r="635" b="1016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4E65"/>
    <w:multiLevelType w:val="singleLevel"/>
    <w:tmpl w:val="2B344E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75815"/>
    <w:rsid w:val="086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2019-07-18T13:44:00Z</dcterms:created>
  <dc:creator>舍弃</dc:creator>
  <cp:lastModifiedBy>舍弃</cp:lastModifiedBy>
  <dcterms:modified xsi:type="dcterms:W3CDTF">2019-07-18T15:45:50Z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