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700" w:right="0" w:rightChars="0" w:hanging="1600" w:hangingChars="500"/>
        <w:jc w:val="center"/>
        <w:textAlignment w:val="auto"/>
        <w:outlineLvl w:val="9"/>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专项一：</w:t>
      </w:r>
      <w:r>
        <w:rPr>
          <w:rFonts w:hint="eastAsia" w:ascii="方正小标宋简体" w:hAnsi="方正小标宋简体" w:eastAsia="方正小标宋简体" w:cs="方正小标宋简体"/>
          <w:color w:val="auto"/>
          <w:sz w:val="32"/>
          <w:szCs w:val="32"/>
          <w:lang w:val="en-US" w:eastAsia="zh-CN"/>
        </w:rPr>
        <w:t>“建设粤港澳大湾区”“支持深圳建设中国特色社会主义先行示范区”和“建设深圳深港现代服务业合作区、珠海横琴粤澳深度合作区”研究专项申报须知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lang w:val="en-US" w:eastAsia="zh-CN"/>
        </w:rPr>
      </w:pPr>
      <w:r>
        <w:rPr>
          <w:rFonts w:hint="eastAsia" w:ascii="仿宋_GB2312" w:hAnsi="仿宋_GB2312" w:eastAsia="仿宋_GB2312" w:cs="仿宋_GB2312"/>
          <w:i w:val="0"/>
          <w:caps w:val="0"/>
          <w:color w:val="auto"/>
          <w:spacing w:val="36"/>
          <w:sz w:val="32"/>
          <w:szCs w:val="32"/>
          <w:u w:val="non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rPr>
      </w:pPr>
      <w:r>
        <w:rPr>
          <w:rFonts w:hint="eastAsia" w:ascii="黑体" w:hAnsi="黑体" w:eastAsia="黑体" w:cs="黑体"/>
          <w:i w:val="0"/>
          <w:caps w:val="0"/>
          <w:color w:val="auto"/>
          <w:spacing w:val="36"/>
          <w:sz w:val="32"/>
          <w:szCs w:val="32"/>
          <w:u w:val="none"/>
          <w:shd w:val="clear" w:color="auto" w:fill="FFFFFF"/>
          <w:lang w:eastAsia="zh-CN"/>
        </w:rPr>
        <w:t>一、</w:t>
      </w:r>
      <w:r>
        <w:rPr>
          <w:rFonts w:hint="eastAsia" w:ascii="黑体" w:hAnsi="黑体" w:eastAsia="黑体" w:cs="黑体"/>
          <w:i w:val="0"/>
          <w:caps w:val="0"/>
          <w:color w:val="auto"/>
          <w:spacing w:val="36"/>
          <w:sz w:val="32"/>
          <w:szCs w:val="32"/>
          <w:u w:val="none"/>
          <w:shd w:val="clear" w:color="auto" w:fill="FFFFFF"/>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坚持以习近平新时代中国特色社会主义思想为指导，全面贯彻落实党的十九大和十</w:t>
      </w:r>
      <w:bookmarkStart w:id="0" w:name="_GoBack"/>
      <w:bookmarkEnd w:id="0"/>
      <w:r>
        <w:rPr>
          <w:rFonts w:hint="eastAsia" w:ascii="仿宋_GB2312" w:hAnsi="仿宋_GB2312" w:eastAsia="仿宋_GB2312" w:cs="仿宋_GB2312"/>
          <w:color w:val="auto"/>
          <w:kern w:val="2"/>
          <w:sz w:val="32"/>
          <w:szCs w:val="32"/>
          <w:lang w:val="en-US" w:eastAsia="zh-CN" w:bidi="ar-SA"/>
        </w:rPr>
        <w:t>九届历次全会精神，围绕建设粤港澳大湾区及支持深圳建设中国特色社会主义先行示范区</w:t>
      </w:r>
      <w:r>
        <w:rPr>
          <w:rFonts w:hint="eastAsia"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特别是推动</w:t>
      </w:r>
      <w:r>
        <w:rPr>
          <w:rFonts w:hint="default" w:ascii="仿宋_GB2312" w:hAnsi="仿宋_GB2312" w:eastAsia="仿宋_GB2312" w:cs="仿宋_GB2312"/>
          <w:color w:val="auto"/>
          <w:kern w:val="2"/>
          <w:sz w:val="32"/>
          <w:szCs w:val="32"/>
          <w:lang w:eastAsia="zh-CN" w:bidi="ar-SA"/>
        </w:rPr>
        <w:t>《横琴粤澳深度合作区建设总体方案》《全面深化前海深港现代服务业合作区改革开放方案》《广州南沙深化面向世界的粤港澳全面合作总体方案》落实</w:t>
      </w:r>
      <w:r>
        <w:rPr>
          <w:rFonts w:hint="eastAsia" w:ascii="仿宋_GB2312" w:hAnsi="仿宋_GB2312" w:eastAsia="仿宋_GB2312" w:cs="仿宋_GB2312"/>
          <w:color w:val="auto"/>
          <w:kern w:val="2"/>
          <w:sz w:val="32"/>
          <w:szCs w:val="32"/>
          <w:lang w:val="en-US" w:eastAsia="zh-CN" w:bidi="ar-SA"/>
        </w:rPr>
        <w:t>的重大理论和现实问题开展研究，努力推出一批高质量研究成果，为省委、省政府决策提供理论支撑和智力支持。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eastAsia" w:ascii="仿宋_GB2312" w:hAnsi="仿宋_GB2312" w:eastAsia="仿宋_GB2312" w:cs="仿宋_GB2312"/>
          <w:color w:val="auto"/>
          <w:kern w:val="2"/>
          <w:sz w:val="32"/>
          <w:szCs w:val="32"/>
          <w:lang w:val="en-US" w:eastAsia="zh-CN" w:bidi="ar-SA"/>
        </w:rPr>
        <w:t>10项，每项资助5万元。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i w:val="0"/>
          <w:caps w:val="0"/>
          <w:color w:val="auto"/>
          <w:spacing w:val="36"/>
          <w:kern w:val="2"/>
          <w:sz w:val="32"/>
          <w:szCs w:val="32"/>
          <w:u w:val="none"/>
          <w:shd w:val="clear" w:color="auto" w:fill="FFFFFF"/>
          <w:lang w:eastAsia="zh-CN" w:bidi="ar-SA"/>
        </w:rPr>
      </w:pPr>
      <w:r>
        <w:rPr>
          <w:rFonts w:hint="eastAsia" w:ascii="黑体" w:hAnsi="黑体" w:eastAsia="黑体" w:cs="黑体"/>
          <w:i w:val="0"/>
          <w:caps w:val="0"/>
          <w:color w:val="auto"/>
          <w:spacing w:val="36"/>
          <w:kern w:val="2"/>
          <w:sz w:val="32"/>
          <w:szCs w:val="32"/>
          <w:u w:val="none"/>
          <w:shd w:val="clear" w:color="auto" w:fill="FFFFFF"/>
          <w:lang w:eastAsia="zh-CN" w:bidi="ar-SA"/>
        </w:rPr>
        <w:t>三、</w:t>
      </w:r>
      <w:r>
        <w:rPr>
          <w:rFonts w:hint="eastAsia" w:ascii="黑体" w:hAnsi="黑体" w:eastAsia="黑体" w:cs="黑体"/>
          <w:i w:val="0"/>
          <w:caps w:val="0"/>
          <w:color w:val="auto"/>
          <w:spacing w:val="36"/>
          <w:kern w:val="2"/>
          <w:sz w:val="32"/>
          <w:szCs w:val="32"/>
          <w:u w:val="none"/>
          <w:shd w:val="clear" w:color="auto" w:fill="FFFFFF"/>
          <w:lang w:bidi="ar-SA"/>
        </w:rPr>
        <w:t>申报</w:t>
      </w:r>
      <w:r>
        <w:rPr>
          <w:rFonts w:hint="eastAsia" w:ascii="黑体" w:hAnsi="黑体" w:eastAsia="黑体" w:cs="黑体"/>
          <w:i w:val="0"/>
          <w:caps w:val="0"/>
          <w:color w:val="auto"/>
          <w:spacing w:val="36"/>
          <w:kern w:val="2"/>
          <w:sz w:val="32"/>
          <w:szCs w:val="32"/>
          <w:u w:val="none"/>
          <w:shd w:val="clear" w:color="auto" w:fill="FFFFFF"/>
          <w:lang w:eastAsia="zh-CN" w:bidi="ar-SA"/>
        </w:rPr>
        <w:t>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1.主要受理省直有关部门，省内各高校，各地级以上市市委党校、社科研究机构，广东省习近平新时代中国特色社会主义思想研究中心各研究基地，省重点智库申报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4.以单位名义组织申报，多单位联合申报须确定一个责任单位，每个申报单位限报6项。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原则上应具有副高级（含）以上专业技术职称（职务）或具有博士学位或担任副处级（含）以上领导职务，是课题的实际负责人，能够承担实质性研究工作并担负科研组织职责</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2.申请人应有较丰富的、与申报课题相关的前期研究成果。申请人结合自身科研优势，把握研究重点，自拟题目进行申报。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3.在研国家社科基金项目或广东省哲学社会科学规划项目负责人，以及三年内国家社科基金项目、省社科规划项目被终止或撤项的项目负责人，不能作为负责人申报本专项。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6.项目申请人不能同时申报本年度重大基础理论研究专项、粤东西北研究专项、冷门绝学研究专项3类项目。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Fonts w:hint="eastAsia" w:ascii="黑体" w:hAnsi="黑体" w:eastAsia="黑体" w:cs="黑体"/>
          <w:b w:val="0"/>
          <w:bCs w:val="0"/>
          <w:i w:val="0"/>
          <w:caps w:val="0"/>
          <w:color w:val="auto"/>
          <w:spacing w:val="36"/>
          <w:sz w:val="32"/>
          <w:szCs w:val="32"/>
          <w:u w:val="none"/>
          <w:shd w:val="clear" w:color="auto" w:fill="FFFFFF"/>
          <w:lang w:val="en-US"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（一）本次申报须按照《申请书》规定内容和要求填写材料，文本要简洁、规范、清晰，不加附件。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课题完成时间为1年，从结果公布之日起计算。课题结项时须提交不少于3万字的高质量课题研究报告。在《人民日报》《光明日报》《经济日报》以广东省习近平新时代中国特色社会主义思想研究中心名义发表1篇以上（含1篇）与申报课题密切相关的理论文章可申请免于鉴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D3B46"/>
    <w:rsid w:val="711D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2022-09-19T09:42:00Z</dcterms:created>
  <dc:creator>caoxj</dc:creator>
  <cp:lastModifiedBy>caoxj</cp:lastModifiedBy>
  <dcterms:modified xsi:type="dcterms:W3CDTF">2022-09-19T09:42:59Z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